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pacing w:line="600" w:lineRule="exact"/>
        <w:ind w:left="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u w:val="single"/>
          <w:lang w:val="en-US" w:eastAsia="zh-CN"/>
        </w:rPr>
        <w:t xml:space="preserve">                </w:t>
      </w:r>
      <w:r>
        <w:rPr>
          <w:rFonts w:hint="eastAsia" w:ascii="方正小标宋简体" w:hAnsi="方正小标宋简体" w:eastAsia="方正小标宋简体" w:cs="方正小标宋简体"/>
          <w:b w:val="0"/>
          <w:bCs w:val="0"/>
          <w:sz w:val="44"/>
          <w:szCs w:val="44"/>
        </w:rPr>
        <w:t>有限公司</w:t>
      </w:r>
    </w:p>
    <w:p>
      <w:pPr>
        <w:keepNext w:val="0"/>
        <w:keepLines w:val="0"/>
        <w:pageBreakBefore w:val="0"/>
        <w:widowControl w:val="0"/>
        <w:kinsoku/>
        <w:overflowPunct/>
        <w:topLinePunct w:val="0"/>
        <w:autoSpaceDE/>
        <w:autoSpaceDN/>
        <w:bidi w:val="0"/>
        <w:spacing w:line="600" w:lineRule="exact"/>
        <w:ind w:left="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股东会决议</w:t>
      </w:r>
    </w:p>
    <w:p>
      <w:pPr>
        <w:keepNext w:val="0"/>
        <w:keepLines w:val="0"/>
        <w:pageBreakBefore w:val="0"/>
        <w:widowControl w:val="0"/>
        <w:kinsoku/>
        <w:wordWrap w:val="0"/>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p>
    <w:p>
      <w:pPr>
        <w:keepNext w:val="0"/>
        <w:keepLines w:val="0"/>
        <w:pageBreakBefore w:val="0"/>
        <w:widowControl w:val="0"/>
        <w:kinsoku/>
        <w:wordWrap w:val="0"/>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根据《中华人民共和国公司法》及《公司章程》的有关规定，</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有限公司于</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年</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日在公司会议室召开股东会，会议由</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主持，全体股东参加了会议。经全体股东研究决定：</w:t>
      </w:r>
    </w:p>
    <w:p>
      <w:pPr>
        <w:keepNext w:val="0"/>
        <w:keepLines w:val="0"/>
        <w:pageBreakBefore w:val="0"/>
        <w:widowControl w:val="0"/>
        <w:kinsoku/>
        <w:wordWrap w:val="0"/>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公司拟购买盛泰集团有限公司等十三家公司破产重整案件非主业资产中的</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资产，参与盛泰集团有限公司等十三家公司</w:t>
      </w:r>
      <w:r>
        <w:rPr>
          <w:rFonts w:hint="eastAsia" w:ascii="仿宋" w:hAnsi="仿宋" w:eastAsia="仿宋" w:cs="仿宋"/>
          <w:sz w:val="30"/>
          <w:szCs w:val="30"/>
          <w:highlight w:val="none"/>
          <w:lang w:val="en-US" w:eastAsia="zh-CN"/>
        </w:rPr>
        <w:t>管理人</w:t>
      </w:r>
      <w:r>
        <w:rPr>
          <w:rFonts w:hint="eastAsia" w:ascii="仿宋" w:hAnsi="仿宋" w:eastAsia="仿宋" w:cs="仿宋"/>
          <w:sz w:val="30"/>
          <w:szCs w:val="30"/>
          <w:lang w:val="en-US" w:eastAsia="zh-CN"/>
        </w:rPr>
        <w:t>组织的盛泰集团有限公司等十三家公司破产重整案件非主业资产中的</w:t>
      </w:r>
      <w:r>
        <w:rPr>
          <w:rFonts w:hint="eastAsia" w:ascii="仿宋" w:hAnsi="仿宋" w:eastAsia="仿宋" w:cs="仿宋"/>
          <w:sz w:val="30"/>
          <w:szCs w:val="30"/>
          <w:u w:val="single"/>
          <w:lang w:val="en-US" w:eastAsia="zh-CN"/>
        </w:rPr>
        <w:t xml:space="preserve">                                  </w:t>
      </w:r>
      <w:bookmarkStart w:id="0" w:name="_GoBack"/>
      <w:bookmarkEnd w:id="0"/>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资产议价</w:t>
      </w:r>
      <w:r>
        <w:rPr>
          <w:rFonts w:hint="eastAsia" w:ascii="仿宋" w:hAnsi="仿宋" w:eastAsia="仿宋" w:cs="仿宋"/>
          <w:sz w:val="30"/>
          <w:szCs w:val="30"/>
          <w:lang w:val="en-US" w:eastAsia="zh-CN"/>
        </w:rPr>
        <w:t>程序。</w:t>
      </w:r>
    </w:p>
    <w:p>
      <w:pPr>
        <w:keepNext w:val="0"/>
        <w:keepLines w:val="0"/>
        <w:pageBreakBefore w:val="0"/>
        <w:widowControl w:val="0"/>
        <w:kinsoku/>
        <w:wordWrap w:val="0"/>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特此决议。</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eastAsia" w:ascii="仿宋" w:hAnsi="仿宋" w:eastAsia="仿宋" w:cs="仿宋"/>
          <w:sz w:val="30"/>
          <w:szCs w:val="30"/>
          <w:lang w:bidi="ar-SA"/>
        </w:rPr>
      </w:pP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eastAsia" w:ascii="仿宋" w:hAnsi="仿宋" w:eastAsia="仿宋" w:cs="仿宋"/>
          <w:sz w:val="30"/>
          <w:szCs w:val="30"/>
          <w:lang w:bidi="ar-SA"/>
        </w:rPr>
      </w:pPr>
      <w:r>
        <w:rPr>
          <w:rFonts w:hint="eastAsia" w:ascii="仿宋" w:hAnsi="仿宋" w:eastAsia="仿宋" w:cs="仿宋"/>
          <w:sz w:val="30"/>
          <w:szCs w:val="30"/>
          <w:lang w:bidi="ar-SA"/>
        </w:rPr>
        <w:t>全体股东签字：</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eastAsia" w:ascii="宋体" w:cs="宋体"/>
          <w:sz w:val="24"/>
          <w:lang w:bidi="ar-SA"/>
        </w:rPr>
      </w:pP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ascii="宋体" w:cs="宋体"/>
          <w:sz w:val="24"/>
          <w:lang w:bidi="ar-SA"/>
        </w:rPr>
      </w:pP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eastAsia" w:ascii="宋体" w:cs="宋体"/>
          <w:sz w:val="24"/>
          <w:lang w:bidi="ar-SA"/>
        </w:rPr>
      </w:pPr>
    </w:p>
    <w:p>
      <w:pPr>
        <w:keepNext w:val="0"/>
        <w:keepLines w:val="0"/>
        <w:pageBreakBefore w:val="0"/>
        <w:widowControl w:val="0"/>
        <w:kinsoku/>
        <w:overflowPunct/>
        <w:topLinePunct w:val="0"/>
        <w:autoSpaceDE/>
        <w:autoSpaceDN/>
        <w:bidi w:val="0"/>
        <w:spacing w:line="600" w:lineRule="exact"/>
        <w:textAlignment w:val="auto"/>
      </w:pPr>
    </w:p>
    <w:p>
      <w:pPr>
        <w:keepNext w:val="0"/>
        <w:keepLines w:val="0"/>
        <w:pageBreakBefore w:val="0"/>
        <w:widowControl w:val="0"/>
        <w:kinsoku/>
        <w:overflowPunct/>
        <w:topLinePunct w:val="0"/>
        <w:autoSpaceDE/>
        <w:autoSpaceDN/>
        <w:bidi w:val="0"/>
        <w:adjustRightInd w:val="0"/>
        <w:snapToGrid w:val="0"/>
        <w:spacing w:line="600" w:lineRule="exact"/>
        <w:ind w:firstLine="5100" w:firstLineChars="1700"/>
        <w:textAlignment w:val="auto"/>
        <w:rPr>
          <w:rFonts w:hint="eastAsia" w:ascii="仿宋" w:hAnsi="仿宋" w:eastAsia="仿宋" w:cs="仿宋"/>
          <w:sz w:val="30"/>
          <w:szCs w:val="30"/>
          <w:lang w:bidi="ar-SA"/>
        </w:rPr>
      </w:pPr>
      <w:r>
        <w:rPr>
          <w:rFonts w:hint="eastAsia" w:ascii="仿宋" w:hAnsi="仿宋" w:eastAsia="仿宋" w:cs="仿宋"/>
          <w:sz w:val="30"/>
          <w:szCs w:val="30"/>
          <w:lang w:val="en-US" w:eastAsia="zh-CN" w:bidi="ar-SA"/>
        </w:rPr>
        <w:t xml:space="preserve">  </w:t>
      </w:r>
      <w:r>
        <w:rPr>
          <w:rFonts w:hint="eastAsia" w:ascii="仿宋" w:hAnsi="仿宋" w:eastAsia="仿宋" w:cs="仿宋"/>
          <w:sz w:val="30"/>
          <w:szCs w:val="30"/>
          <w:lang w:bidi="ar-SA"/>
        </w:rPr>
        <w:t>年    月    日</w:t>
      </w:r>
    </w:p>
    <w:p>
      <w:pPr>
        <w:keepNext w:val="0"/>
        <w:keepLines w:val="0"/>
        <w:pageBreakBefore w:val="0"/>
        <w:widowControl w:val="0"/>
        <w:kinsoku/>
        <w:overflowPunct/>
        <w:topLinePunct w:val="0"/>
        <w:autoSpaceDE/>
        <w:autoSpaceDN/>
        <w:bidi w:val="0"/>
        <w:spacing w:line="600" w:lineRule="exact"/>
        <w:textAlignment w:val="auto"/>
      </w:pPr>
    </w:p>
    <w:p>
      <w:pPr>
        <w:keepNext w:val="0"/>
        <w:keepLines w:val="0"/>
        <w:pageBreakBefore w:val="0"/>
        <w:widowControl w:val="0"/>
        <w:kinsoku/>
        <w:overflowPunct/>
        <w:topLinePunct w:val="0"/>
        <w:autoSpaceDE/>
        <w:autoSpaceDN/>
        <w:bidi w:val="0"/>
        <w:spacing w:line="600" w:lineRule="exact"/>
        <w:textAlignment w:val="auto"/>
      </w:pPr>
    </w:p>
    <w:sectPr>
      <w:pgSz w:w="11906" w:h="16838"/>
      <w:pgMar w:top="1440" w:right="1800" w:bottom="1440" w:left="1800" w:header="851" w:footer="992" w:gutter="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A4016"/>
    <w:rsid w:val="0FC21E34"/>
    <w:rsid w:val="29DA1D79"/>
    <w:rsid w:val="2BD536C5"/>
    <w:rsid w:val="3BF84A08"/>
    <w:rsid w:val="3F4D38C8"/>
    <w:rsid w:val="49F93966"/>
    <w:rsid w:val="534F6FD3"/>
    <w:rsid w:val="74A554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愤怒的小油菜</cp:lastModifiedBy>
  <dcterms:modified xsi:type="dcterms:W3CDTF">2021-01-19T07:16:36Z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